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367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465"/>
        <w:gridCol w:w="6210"/>
        <w:tblGridChange w:id="0">
          <w:tblGrid>
            <w:gridCol w:w="7465"/>
            <w:gridCol w:w="6210"/>
          </w:tblGrid>
        </w:tblGridChange>
      </w:tblGrid>
      <w:tr>
        <w:trPr>
          <w:trHeight w:val="420" w:hRule="atLeast"/>
        </w:trPr>
        <w:tc>
          <w:tcPr>
            <w:shd w:fill="ffe599" w:val="clear"/>
            <w:vAlign w:val="center"/>
          </w:tcPr>
          <w:p w:rsidR="00000000" w:rsidDel="00000000" w:rsidP="00000000" w:rsidRDefault="00000000" w:rsidRPr="00000000" w14:paraId="00000002">
            <w:pPr>
              <w:jc w:val="center"/>
              <w:rPr>
                <w:b w:val="1"/>
              </w:rPr>
            </w:pPr>
            <w:r w:rsidDel="00000000" w:rsidR="00000000" w:rsidRPr="00000000">
              <w:rPr>
                <w:b w:val="1"/>
                <w:rtl w:val="0"/>
              </w:rPr>
              <w:t xml:space="preserve">ENGLISH TEXT</w:t>
            </w:r>
          </w:p>
        </w:tc>
        <w:tc>
          <w:tcPr>
            <w:shd w:fill="ffe599" w:val="clear"/>
            <w:vAlign w:val="center"/>
          </w:tcPr>
          <w:p w:rsidR="00000000" w:rsidDel="00000000" w:rsidP="00000000" w:rsidRDefault="00000000" w:rsidRPr="00000000" w14:paraId="00000003">
            <w:pPr>
              <w:jc w:val="center"/>
              <w:rPr>
                <w:b w:val="1"/>
              </w:rPr>
            </w:pPr>
            <w:r w:rsidDel="00000000" w:rsidR="00000000" w:rsidRPr="00000000">
              <w:rPr>
                <w:b w:val="1"/>
                <w:rtl w:val="0"/>
              </w:rPr>
              <w:t xml:space="preserve">TRANSLATION</w:t>
            </w:r>
          </w:p>
        </w:tc>
      </w:tr>
      <w:tr>
        <w:tc>
          <w:tcPr>
            <w:vAlign w:val="center"/>
          </w:tcPr>
          <w:p w:rsidR="00000000" w:rsidDel="00000000" w:rsidP="00000000" w:rsidRDefault="00000000" w:rsidRPr="00000000" w14:paraId="00000004">
            <w:pPr>
              <w:jc w:val="center"/>
              <w:rPr>
                <w:color w:val="000000"/>
              </w:rPr>
            </w:pPr>
            <w:r w:rsidDel="00000000" w:rsidR="00000000" w:rsidRPr="00000000">
              <w:rPr>
                <w:color w:val="000000"/>
                <w:rtl w:val="0"/>
              </w:rPr>
              <w:t xml:space="preserve">Supporting organic wineries in the modern era</w:t>
            </w:r>
          </w:p>
        </w:tc>
        <w:tc>
          <w:tcPr>
            <w:vAlign w:val="center"/>
          </w:tcPr>
          <w:p w:rsidR="00000000" w:rsidDel="00000000" w:rsidP="00000000" w:rsidRDefault="00000000" w:rsidRPr="00000000" w14:paraId="00000005">
            <w:pPr>
              <w:jc w:val="center"/>
              <w:rPr/>
            </w:pPr>
            <w:r w:rsidDel="00000000" w:rsidR="00000000" w:rsidRPr="00000000">
              <w:rPr>
                <w:rtl w:val="0"/>
              </w:rPr>
              <w:t xml:space="preserve">Supportare la produzione di vino organico nell’era moderna</w:t>
            </w:r>
          </w:p>
        </w:tc>
      </w:tr>
      <w:tr>
        <w:tc>
          <w:tcPr>
            <w:vAlign w:val="center"/>
          </w:tcPr>
          <w:p w:rsidR="00000000" w:rsidDel="00000000" w:rsidP="00000000" w:rsidRDefault="00000000" w:rsidRPr="00000000" w14:paraId="00000006">
            <w:pPr>
              <w:jc w:val="center"/>
              <w:rPr>
                <w:color w:val="000000"/>
              </w:rPr>
            </w:pPr>
            <w:r w:rsidDel="00000000" w:rsidR="00000000" w:rsidRPr="00000000">
              <w:rPr>
                <w:b w:val="0"/>
                <w:color w:val="000000"/>
                <w:rtl w:val="0"/>
              </w:rPr>
              <w:t xml:space="preserve">OCTOBER, 2019</w:t>
            </w:r>
            <w:r w:rsidDel="00000000" w:rsidR="00000000" w:rsidRPr="00000000">
              <w:rPr>
                <w:rtl w:val="0"/>
              </w:rPr>
            </w:r>
          </w:p>
        </w:tc>
        <w:tc>
          <w:tcPr>
            <w:vAlign w:val="center"/>
          </w:tcPr>
          <w:p w:rsidR="00000000" w:rsidDel="00000000" w:rsidP="00000000" w:rsidRDefault="00000000" w:rsidRPr="00000000" w14:paraId="00000007">
            <w:pPr>
              <w:jc w:val="center"/>
              <w:rPr/>
            </w:pPr>
            <w:r w:rsidDel="00000000" w:rsidR="00000000" w:rsidRPr="00000000">
              <w:rPr>
                <w:rtl w:val="0"/>
              </w:rPr>
              <w:t xml:space="preserve">OTTOBRE, 2019</w:t>
            </w:r>
          </w:p>
        </w:tc>
      </w:tr>
      <w:tr>
        <w:tc>
          <w:tcPr>
            <w:vAlign w:val="center"/>
          </w:tcPr>
          <w:p w:rsidR="00000000" w:rsidDel="00000000" w:rsidP="00000000" w:rsidRDefault="00000000" w:rsidRPr="00000000" w14:paraId="00000008">
            <w:pPr>
              <w:jc w:val="center"/>
              <w:rPr>
                <w:color w:val="000000"/>
              </w:rPr>
            </w:pPr>
            <w:r w:rsidDel="00000000" w:rsidR="00000000" w:rsidRPr="00000000">
              <w:rPr>
                <w:i w:val="1"/>
                <w:color w:val="000000"/>
                <w:rtl w:val="0"/>
              </w:rPr>
              <w:t xml:space="preserve">Newsletter no 1</w:t>
            </w:r>
            <w:r w:rsidDel="00000000" w:rsidR="00000000" w:rsidRPr="00000000">
              <w:rPr>
                <w:rtl w:val="0"/>
              </w:rPr>
            </w:r>
          </w:p>
        </w:tc>
        <w:tc>
          <w:tcPr>
            <w:vAlign w:val="center"/>
          </w:tcPr>
          <w:p w:rsidR="00000000" w:rsidDel="00000000" w:rsidP="00000000" w:rsidRDefault="00000000" w:rsidRPr="00000000" w14:paraId="00000009">
            <w:pPr>
              <w:jc w:val="center"/>
              <w:rPr/>
            </w:pPr>
            <w:r w:rsidDel="00000000" w:rsidR="00000000" w:rsidRPr="00000000">
              <w:rPr>
                <w:i w:val="1"/>
                <w:color w:val="000000"/>
                <w:rtl w:val="0"/>
              </w:rPr>
              <w:t xml:space="preserve">Newsletter no 1</w:t>
            </w:r>
            <w:r w:rsidDel="00000000" w:rsidR="00000000" w:rsidRPr="00000000">
              <w:rPr>
                <w:rtl w:val="0"/>
              </w:rPr>
            </w:r>
          </w:p>
        </w:tc>
      </w:tr>
      <w:tr>
        <w:tc>
          <w:tcPr>
            <w:vAlign w:val="center"/>
          </w:tcPr>
          <w:p w:rsidR="00000000" w:rsidDel="00000000" w:rsidP="00000000" w:rsidRDefault="00000000" w:rsidRPr="00000000" w14:paraId="0000000A">
            <w:pPr>
              <w:jc w:val="center"/>
              <w:rPr>
                <w:b w:val="1"/>
              </w:rPr>
            </w:pPr>
            <w:r w:rsidDel="00000000" w:rsidR="00000000" w:rsidRPr="00000000">
              <w:rPr>
                <w:b w:val="1"/>
                <w:color w:val="000000"/>
                <w:rtl w:val="0"/>
              </w:rPr>
              <w:t xml:space="preserve">Overview of the 1st Year</w:t>
            </w:r>
            <w:r w:rsidDel="00000000" w:rsidR="00000000" w:rsidRPr="00000000">
              <w:rPr>
                <w:rtl w:val="0"/>
              </w:rPr>
            </w:r>
          </w:p>
        </w:tc>
        <w:tc>
          <w:tcPr>
            <w:vAlign w:val="center"/>
          </w:tcPr>
          <w:p w:rsidR="00000000" w:rsidDel="00000000" w:rsidP="00000000" w:rsidRDefault="00000000" w:rsidRPr="00000000" w14:paraId="0000000B">
            <w:pPr>
              <w:jc w:val="center"/>
              <w:rPr>
                <w:b w:val="1"/>
              </w:rPr>
            </w:pPr>
            <w:r w:rsidDel="00000000" w:rsidR="00000000" w:rsidRPr="00000000">
              <w:rPr>
                <w:b w:val="1"/>
                <w:rtl w:val="0"/>
              </w:rPr>
              <w:t xml:space="preserve">Panoramica del 1° anno</w:t>
            </w:r>
          </w:p>
        </w:tc>
      </w:tr>
      <w:tr>
        <w:trPr>
          <w:trHeight w:val="4080" w:hRule="atLeast"/>
        </w:trPr>
        <w:tc>
          <w:tcPr>
            <w:vAlign w:val="center"/>
          </w:tcPr>
          <w:p w:rsidR="00000000" w:rsidDel="00000000" w:rsidP="00000000" w:rsidRDefault="00000000" w:rsidRPr="00000000" w14:paraId="0000000C">
            <w:pPr>
              <w:spacing w:after="280" w:lineRule="auto"/>
              <w:jc w:val="both"/>
              <w:rPr>
                <w:color w:val="000000"/>
              </w:rPr>
            </w:pPr>
            <w:r w:rsidDel="00000000" w:rsidR="00000000" w:rsidRPr="00000000">
              <w:rPr>
                <w:b w:val="1"/>
                <w:color w:val="000000"/>
                <w:rtl w:val="0"/>
              </w:rPr>
              <w:t xml:space="preserve">Welcome to the WinEra 1st newsletter release! </w:t>
            </w:r>
            <w:r w:rsidDel="00000000" w:rsidR="00000000" w:rsidRPr="00000000">
              <w:rPr>
                <w:rtl w:val="0"/>
              </w:rPr>
            </w:r>
          </w:p>
          <w:p w:rsidR="00000000" w:rsidDel="00000000" w:rsidP="00000000" w:rsidRDefault="00000000" w:rsidRPr="00000000" w14:paraId="0000000D">
            <w:pPr>
              <w:spacing w:after="280" w:before="280" w:lineRule="auto"/>
              <w:jc w:val="both"/>
              <w:rPr>
                <w:color w:val="000000"/>
              </w:rPr>
            </w:pPr>
            <w:r w:rsidDel="00000000" w:rsidR="00000000" w:rsidRPr="00000000">
              <w:rPr>
                <w:color w:val="000000"/>
                <w:rtl w:val="0"/>
              </w:rPr>
              <w:t xml:space="preserve">For the</w:t>
            </w:r>
            <w:r w:rsidDel="00000000" w:rsidR="00000000" w:rsidRPr="00000000">
              <w:rPr>
                <w:b w:val="1"/>
                <w:color w:val="000000"/>
                <w:rtl w:val="0"/>
              </w:rPr>
              <w:t xml:space="preserve"> past year</w:t>
            </w:r>
            <w:r w:rsidDel="00000000" w:rsidR="00000000" w:rsidRPr="00000000">
              <w:rPr>
                <w:color w:val="000000"/>
                <w:rtl w:val="0"/>
              </w:rPr>
              <w:t xml:space="preserve">, the partners of the WinEra project have implemented three transnational meetings at which representatives from all partner organizations attended. During the meetings, the consortium had discussed and presented the main aspects of the project, including its aims, objectives, and outputs. They elaborated on the methodological approach of each output, financial and technical aspects, as well as dissemination and identification of the expected target groups. </w:t>
            </w:r>
          </w:p>
          <w:p w:rsidR="00000000" w:rsidDel="00000000" w:rsidP="00000000" w:rsidRDefault="00000000" w:rsidRPr="00000000" w14:paraId="0000000E">
            <w:pPr>
              <w:spacing w:before="280" w:lineRule="auto"/>
              <w:jc w:val="both"/>
              <w:rPr>
                <w:color w:val="000000"/>
              </w:rPr>
            </w:pPr>
            <w:r w:rsidDel="00000000" w:rsidR="00000000" w:rsidRPr="00000000">
              <w:rPr>
                <w:color w:val="000000"/>
                <w:rtl w:val="0"/>
              </w:rPr>
              <w:t xml:space="preserve">The main objective of these meetings was ensuring that a </w:t>
            </w:r>
            <w:r w:rsidDel="00000000" w:rsidR="00000000" w:rsidRPr="00000000">
              <w:rPr>
                <w:b w:val="1"/>
                <w:color w:val="000000"/>
                <w:rtl w:val="0"/>
              </w:rPr>
              <w:t xml:space="preserve">proper level of quality</w:t>
            </w:r>
            <w:r w:rsidDel="00000000" w:rsidR="00000000" w:rsidRPr="00000000">
              <w:rPr>
                <w:color w:val="000000"/>
                <w:rtl w:val="0"/>
              </w:rPr>
              <w:t xml:space="preserve">, </w:t>
            </w:r>
            <w:r w:rsidDel="00000000" w:rsidR="00000000" w:rsidRPr="00000000">
              <w:rPr>
                <w:b w:val="1"/>
                <w:color w:val="000000"/>
                <w:rtl w:val="0"/>
              </w:rPr>
              <w:t xml:space="preserve">communication and</w:t>
            </w:r>
            <w:r w:rsidDel="00000000" w:rsidR="00000000" w:rsidRPr="00000000">
              <w:rPr>
                <w:color w:val="000000"/>
                <w:rtl w:val="0"/>
              </w:rPr>
              <w:t xml:space="preserve"> </w:t>
            </w:r>
            <w:r w:rsidDel="00000000" w:rsidR="00000000" w:rsidRPr="00000000">
              <w:rPr>
                <w:b w:val="1"/>
                <w:color w:val="000000"/>
                <w:rtl w:val="0"/>
              </w:rPr>
              <w:t xml:space="preserve">cooperation </w:t>
            </w:r>
            <w:r w:rsidDel="00000000" w:rsidR="00000000" w:rsidRPr="00000000">
              <w:rPr>
                <w:color w:val="000000"/>
                <w:rtl w:val="0"/>
              </w:rPr>
              <w:t xml:space="preserve">is achieved. After each meeting, the consortium agreed on the immediate activities and steps to be implemented, as well as the organization of the next transnational meetings.</w:t>
            </w:r>
          </w:p>
        </w:tc>
        <w:tc>
          <w:tcPr>
            <w:vAlign w:val="center"/>
          </w:tcPr>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b w:val="1"/>
              </w:rPr>
            </w:pPr>
            <w:r w:rsidDel="00000000" w:rsidR="00000000" w:rsidRPr="00000000">
              <w:rPr>
                <w:b w:val="1"/>
                <w:rtl w:val="0"/>
              </w:rPr>
              <w:t xml:space="preserve">Benvenuti alla prima edizione della newsletter di WinEra!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b w:val="1"/>
                <w:rtl w:val="0"/>
              </w:rPr>
              <w:t xml:space="preserve">Nell'ultimo anno</w:t>
            </w:r>
            <w:r w:rsidDel="00000000" w:rsidR="00000000" w:rsidRPr="00000000">
              <w:rPr>
                <w:rtl w:val="0"/>
              </w:rPr>
              <w:t xml:space="preserve">, i partner del progetto WinEra hanno realizzato tre incontri transnazionali a cui hanno partecipato rappresentanti di tutte le organizzazioni partner. Durante gli incontri, il consorzio ha discusso e presentato i principali aspetti del progetto, inclusi gli scopi, gli obiettivi e i risultati. Hanno elaborato l'approccio metodologico di ciascun output, gli aspetti finanziari e tecnici, così come la diffusione e l'identificazione dei gruppi target selezionati.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L'obiettivo principale di questi incontri è stato quello di garantire </w:t>
            </w:r>
            <w:r w:rsidDel="00000000" w:rsidR="00000000" w:rsidRPr="00000000">
              <w:rPr>
                <w:b w:val="1"/>
                <w:rtl w:val="0"/>
              </w:rPr>
              <w:t xml:space="preserve">un adeguato livello di qualità, comunicazione e cooperazione</w:t>
            </w:r>
            <w:r w:rsidDel="00000000" w:rsidR="00000000" w:rsidRPr="00000000">
              <w:rPr>
                <w:rtl w:val="0"/>
              </w:rPr>
              <w:t xml:space="preserve">. Dopo ogni incontro, il consorzio ha concordato le attività immediate e le misure da attuare, nonché l'organizzazione dei prossimi incontri transnazionali.</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tc>
      </w:tr>
      <w:tr>
        <w:tc>
          <w:tcPr>
            <w:vAlign w:val="center"/>
          </w:tcPr>
          <w:p w:rsidR="00000000" w:rsidDel="00000000" w:rsidP="00000000" w:rsidRDefault="00000000" w:rsidRPr="00000000" w14:paraId="00000018">
            <w:pPr>
              <w:jc w:val="center"/>
              <w:rPr>
                <w:b w:val="1"/>
              </w:rPr>
            </w:pPr>
            <w:r w:rsidDel="00000000" w:rsidR="00000000" w:rsidRPr="00000000">
              <w:rPr>
                <w:b w:val="1"/>
                <w:color w:val="000000"/>
                <w:rtl w:val="0"/>
              </w:rPr>
              <w:t xml:space="preserve">Upcoming Activities</w:t>
            </w:r>
            <w:r w:rsidDel="00000000" w:rsidR="00000000" w:rsidRPr="00000000">
              <w:rPr>
                <w:rtl w:val="0"/>
              </w:rPr>
            </w:r>
          </w:p>
        </w:tc>
        <w:tc>
          <w:tcPr>
            <w:vAlign w:val="center"/>
          </w:tcPr>
          <w:p w:rsidR="00000000" w:rsidDel="00000000" w:rsidP="00000000" w:rsidRDefault="00000000" w:rsidRPr="00000000" w14:paraId="00000019">
            <w:pPr>
              <w:jc w:val="center"/>
              <w:rPr/>
            </w:pPr>
            <w:r w:rsidDel="00000000" w:rsidR="00000000" w:rsidRPr="00000000">
              <w:rPr>
                <w:rtl w:val="0"/>
              </w:rPr>
              <w:t xml:space="preserve">Prossime attività</w:t>
            </w:r>
          </w:p>
        </w:tc>
      </w:tr>
      <w:tr>
        <w:tc>
          <w:tcPr>
            <w:vAlign w:val="center"/>
          </w:tcPr>
          <w:p w:rsidR="00000000" w:rsidDel="00000000" w:rsidP="00000000" w:rsidRDefault="00000000" w:rsidRPr="00000000" w14:paraId="0000001A">
            <w:pPr>
              <w:jc w:val="both"/>
              <w:rPr>
                <w:color w:val="000000"/>
              </w:rPr>
            </w:pPr>
            <w:r w:rsidDel="00000000" w:rsidR="00000000" w:rsidRPr="00000000">
              <w:rPr>
                <w:color w:val="000000"/>
                <w:rtl w:val="0"/>
              </w:rPr>
              <w:t xml:space="preserve">The WinEra partnership is now working towards the development of an </w:t>
            </w:r>
            <w:r w:rsidDel="00000000" w:rsidR="00000000" w:rsidRPr="00000000">
              <w:rPr>
                <w:b w:val="1"/>
                <w:color w:val="000000"/>
                <w:rtl w:val="0"/>
              </w:rPr>
              <w:t xml:space="preserve">online training course and platform</w:t>
            </w:r>
            <w:r w:rsidDel="00000000" w:rsidR="00000000" w:rsidRPr="00000000">
              <w:rPr>
                <w:color w:val="000000"/>
                <w:rtl w:val="0"/>
              </w:rPr>
              <w:t xml:space="preserve">, which will be open for farmers, entrepreneurs, trainers, and other interested groups or individuals involved in the process of organic and biodynamic wine production. The e-platform will include </w:t>
            </w:r>
            <w:r w:rsidDel="00000000" w:rsidR="00000000" w:rsidRPr="00000000">
              <w:rPr>
                <w:b w:val="1"/>
                <w:color w:val="000000"/>
                <w:rtl w:val="0"/>
              </w:rPr>
              <w:t xml:space="preserve">theoretical input</w:t>
            </w:r>
            <w:r w:rsidDel="00000000" w:rsidR="00000000" w:rsidRPr="00000000">
              <w:rPr>
                <w:color w:val="000000"/>
                <w:rtl w:val="0"/>
              </w:rPr>
              <w:t xml:space="preserve"> and </w:t>
            </w:r>
            <w:r w:rsidDel="00000000" w:rsidR="00000000" w:rsidRPr="00000000">
              <w:rPr>
                <w:b w:val="1"/>
                <w:color w:val="000000"/>
                <w:rtl w:val="0"/>
              </w:rPr>
              <w:t xml:space="preserve">practical examples </w:t>
            </w:r>
            <w:r w:rsidDel="00000000" w:rsidR="00000000" w:rsidRPr="00000000">
              <w:rPr>
                <w:color w:val="000000"/>
                <w:rtl w:val="0"/>
              </w:rPr>
              <w:t xml:space="preserve">at all different stages of production and distribution: from harvesting through preparation and marketing of the product. It will also include suggestions for </w:t>
            </w:r>
            <w:r w:rsidDel="00000000" w:rsidR="00000000" w:rsidRPr="00000000">
              <w:rPr>
                <w:b w:val="1"/>
                <w:color w:val="000000"/>
                <w:rtl w:val="0"/>
              </w:rPr>
              <w:t xml:space="preserve">additional reading</w:t>
            </w:r>
            <w:r w:rsidDel="00000000" w:rsidR="00000000" w:rsidRPr="00000000">
              <w:rPr>
                <w:color w:val="000000"/>
                <w:rtl w:val="0"/>
              </w:rPr>
              <w:t xml:space="preserve">, </w:t>
            </w:r>
            <w:r w:rsidDel="00000000" w:rsidR="00000000" w:rsidRPr="00000000">
              <w:rPr>
                <w:b w:val="1"/>
                <w:color w:val="000000"/>
                <w:rtl w:val="0"/>
              </w:rPr>
              <w:t xml:space="preserve">case studies</w:t>
            </w:r>
            <w:r w:rsidDel="00000000" w:rsidR="00000000" w:rsidRPr="00000000">
              <w:rPr>
                <w:color w:val="000000"/>
                <w:rtl w:val="0"/>
              </w:rPr>
              <w:t xml:space="preserve">, self-preparatory </w:t>
            </w:r>
            <w:r w:rsidDel="00000000" w:rsidR="00000000" w:rsidRPr="00000000">
              <w:rPr>
                <w:b w:val="1"/>
                <w:color w:val="000000"/>
                <w:rtl w:val="0"/>
              </w:rPr>
              <w:t xml:space="preserve">tests,</w:t>
            </w:r>
            <w:r w:rsidDel="00000000" w:rsidR="00000000" w:rsidRPr="00000000">
              <w:rPr>
                <w:color w:val="000000"/>
                <w:rtl w:val="0"/>
              </w:rPr>
              <w:t xml:space="preserve"> and interactive </w:t>
            </w:r>
            <w:r w:rsidDel="00000000" w:rsidR="00000000" w:rsidRPr="00000000">
              <w:rPr>
                <w:b w:val="1"/>
                <w:color w:val="000000"/>
                <w:rtl w:val="0"/>
              </w:rPr>
              <w:t xml:space="preserve">exercises</w:t>
            </w:r>
            <w:r w:rsidDel="00000000" w:rsidR="00000000" w:rsidRPr="00000000">
              <w:rPr>
                <w:color w:val="000000"/>
                <w:rtl w:val="0"/>
              </w:rPr>
              <w:t xml:space="preserve">. Stay tuned for more news and updates!</w:t>
            </w:r>
          </w:p>
        </w:tc>
        <w:tc>
          <w:tcPr>
            <w:vAlign w:val="center"/>
          </w:tcPr>
          <w:p w:rsidR="00000000" w:rsidDel="00000000" w:rsidP="00000000" w:rsidRDefault="00000000" w:rsidRPr="00000000" w14:paraId="0000001B">
            <w:pPr>
              <w:jc w:val="both"/>
              <w:rPr/>
            </w:pPr>
            <w:r w:rsidDel="00000000" w:rsidR="00000000" w:rsidRPr="00000000">
              <w:rPr>
                <w:rtl w:val="0"/>
              </w:rPr>
              <w:t xml:space="preserve">Il partenariato WinEra sta lavorando allo sviluppo di un </w:t>
            </w:r>
            <w:r w:rsidDel="00000000" w:rsidR="00000000" w:rsidRPr="00000000">
              <w:rPr>
                <w:b w:val="1"/>
                <w:rtl w:val="0"/>
              </w:rPr>
              <w:t xml:space="preserve">corso di formazione online e di una piattaforma</w:t>
            </w:r>
            <w:r w:rsidDel="00000000" w:rsidR="00000000" w:rsidRPr="00000000">
              <w:rPr>
                <w:rtl w:val="0"/>
              </w:rPr>
              <w:t xml:space="preserve">, che sarà aperta ad agricoltori, imprenditori, formatori e altri gruppi interessati o individui coinvolti nel processo di produzione di vino biologico e biodinamico. La piattaforma elettronica includerà input teorici ed esempi pratici in tutte le diverse fasi della produzione e della distribuzione: dalla vendemmia alla preparazione e commercializzazione del prodotto. Comprenderà anche suggerimenti per </w:t>
            </w:r>
            <w:r w:rsidDel="00000000" w:rsidR="00000000" w:rsidRPr="00000000">
              <w:rPr>
                <w:b w:val="1"/>
                <w:rtl w:val="0"/>
              </w:rPr>
              <w:t xml:space="preserve">ulteriori letture, casi di studio, test</w:t>
            </w:r>
            <w:r w:rsidDel="00000000" w:rsidR="00000000" w:rsidRPr="00000000">
              <w:rPr>
                <w:rtl w:val="0"/>
              </w:rPr>
              <w:t xml:space="preserve"> autopreparatori ed </w:t>
            </w:r>
            <w:r w:rsidDel="00000000" w:rsidR="00000000" w:rsidRPr="00000000">
              <w:rPr>
                <w:b w:val="1"/>
                <w:rtl w:val="0"/>
              </w:rPr>
              <w:t xml:space="preserve">esercizi</w:t>
            </w:r>
            <w:r w:rsidDel="00000000" w:rsidR="00000000" w:rsidRPr="00000000">
              <w:rPr>
                <w:rtl w:val="0"/>
              </w:rPr>
              <w:t xml:space="preserve"> interattivi. Restate sintonizzati per ulteriori notizie e aggiornamenti!</w:t>
            </w:r>
          </w:p>
          <w:p w:rsidR="00000000" w:rsidDel="00000000" w:rsidP="00000000" w:rsidRDefault="00000000" w:rsidRPr="00000000" w14:paraId="0000001C">
            <w:pPr>
              <w:jc w:val="both"/>
              <w:rPr/>
            </w:pPr>
            <w:r w:rsidDel="00000000" w:rsidR="00000000" w:rsidRPr="00000000">
              <w:rPr>
                <w:rtl w:val="0"/>
              </w:rPr>
            </w:r>
          </w:p>
        </w:tc>
      </w:tr>
    </w:tbl>
    <w:p w:rsidR="00000000" w:rsidDel="00000000" w:rsidP="00000000" w:rsidRDefault="00000000" w:rsidRPr="00000000" w14:paraId="0000001D">
      <w:pPr>
        <w:jc w:val="both"/>
        <w:rPr/>
      </w:pPr>
      <w:r w:rsidDel="00000000" w:rsidR="00000000" w:rsidRPr="00000000">
        <w:rPr>
          <w:rtl w:val="0"/>
        </w:rPr>
      </w:r>
    </w:p>
    <w:sectPr>
      <w:pgSz w:h="11906" w:w="16838"/>
      <w:pgMar w:bottom="1800" w:top="11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Pr>
      <w:lang w:val="en-US"/>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Grigliatabella">
    <w:name w:val="Table Grid"/>
    <w:basedOn w:val="Tabellanormale"/>
    <w:uiPriority w:val="39"/>
    <w:rsid w:val="0023121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Enfasigrassetto">
    <w:name w:val="Strong"/>
    <w:basedOn w:val="Carpredefinitoparagrafo"/>
    <w:uiPriority w:val="22"/>
    <w:qFormat w:val="1"/>
    <w:rsid w:val="00231214"/>
    <w:rPr>
      <w:b w:val="1"/>
      <w:bCs w:val="1"/>
    </w:rPr>
  </w:style>
  <w:style w:type="character" w:styleId="Enfasicorsivo">
    <w:name w:val="Emphasis"/>
    <w:basedOn w:val="Carpredefinitoparagrafo"/>
    <w:uiPriority w:val="20"/>
    <w:qFormat w:val="1"/>
    <w:rsid w:val="00231214"/>
    <w:rPr>
      <w:i w:val="1"/>
      <w:iCs w:val="1"/>
    </w:rPr>
  </w:style>
  <w:style w:type="paragraph" w:styleId="2bzs5fgitkbretgmp5by" w:customStyle="1">
    <w:name w:val="_2bzs5fgitkbretgm_p5_by"/>
    <w:basedOn w:val="Normale"/>
    <w:rsid w:val="00231214"/>
    <w:pPr>
      <w:spacing w:after="100" w:afterAutospacing="1" w:before="100" w:beforeAutospacing="1" w:line="240" w:lineRule="auto"/>
    </w:pPr>
    <w:rPr>
      <w:rFonts w:ascii="Times New Roman" w:cs="Times New Roman" w:eastAsia="Times New Roman" w:hAnsi="Times New Roman"/>
      <w:sz w:val="24"/>
      <w:szCs w:val="24"/>
      <w:lang w:eastAsia="ru-RU" w:val="ru-RU"/>
    </w:rPr>
  </w:style>
  <w:style w:type="character" w:styleId="white-space-prewrap" w:customStyle="1">
    <w:name w:val="white-space-prewrap"/>
    <w:basedOn w:val="Carpredefinitoparagrafo"/>
    <w:rsid w:val="00231214"/>
  </w:style>
  <w:style w:type="paragraph" w:styleId="Intestazione">
    <w:name w:val="header"/>
    <w:basedOn w:val="Normale"/>
    <w:link w:val="IntestazioneCarattere"/>
    <w:uiPriority w:val="99"/>
    <w:unhideWhenUsed w:val="1"/>
    <w:rsid w:val="00231214"/>
    <w:pPr>
      <w:tabs>
        <w:tab w:val="center" w:pos="4153"/>
        <w:tab w:val="right" w:pos="8306"/>
      </w:tabs>
      <w:spacing w:after="0" w:line="240" w:lineRule="auto"/>
    </w:pPr>
  </w:style>
  <w:style w:type="character" w:styleId="IntestazioneCarattere" w:customStyle="1">
    <w:name w:val="Intestazione Carattere"/>
    <w:basedOn w:val="Carpredefinitoparagrafo"/>
    <w:link w:val="Intestazione"/>
    <w:uiPriority w:val="99"/>
    <w:rsid w:val="00231214"/>
    <w:rPr>
      <w:lang w:val="en-US"/>
    </w:rPr>
  </w:style>
  <w:style w:type="paragraph" w:styleId="Pidipagina">
    <w:name w:val="footer"/>
    <w:basedOn w:val="Normale"/>
    <w:link w:val="PidipaginaCarattere"/>
    <w:uiPriority w:val="99"/>
    <w:unhideWhenUsed w:val="1"/>
    <w:rsid w:val="00231214"/>
    <w:pPr>
      <w:tabs>
        <w:tab w:val="center" w:pos="4153"/>
        <w:tab w:val="right" w:pos="8306"/>
      </w:tabs>
      <w:spacing w:after="0" w:line="240" w:lineRule="auto"/>
    </w:pPr>
  </w:style>
  <w:style w:type="character" w:styleId="PidipaginaCarattere" w:customStyle="1">
    <w:name w:val="Piè di pagina Carattere"/>
    <w:basedOn w:val="Carpredefinitoparagrafo"/>
    <w:link w:val="Pidipagina"/>
    <w:uiPriority w:val="99"/>
    <w:rsid w:val="00231214"/>
    <w:rPr>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EOEwqNKwrMxjzYxLTvAfiE1svA==">AMUW2mWfC2aUAN2cqtmVXTcJ98XQt02xihKl+W3CWqS36neDXBUyuibO8LijWuaLjW+qOjTPd1alC58O8KckL0mN5XznR7eSNkhrUt24HRW80l5bTsS7m0I=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2019-10-22T11:25:00Z</dcterms:created>
  <dc:creator>Maria Koumparou</dc:creator>
</cp:coreProperties>
</file>